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542" w:rsidRDefault="004F6542" w:rsidP="004F6542">
      <w:pPr>
        <w:spacing w:line="480" w:lineRule="auto"/>
        <w:ind w:firstLine="720"/>
        <w:jc w:val="center"/>
        <w:rPr>
          <w:rFonts w:ascii="Times New Roman" w:hAnsi="Times New Roman" w:cs="Times New Roman"/>
          <w:sz w:val="24"/>
          <w:szCs w:val="24"/>
        </w:rPr>
      </w:pPr>
      <w:bookmarkStart w:id="0" w:name="_GoBack"/>
      <w:bookmarkEnd w:id="0"/>
    </w:p>
    <w:p w:rsidR="004F6542" w:rsidRDefault="00DA26CD" w:rsidP="004F6542">
      <w:pPr>
        <w:tabs>
          <w:tab w:val="left" w:pos="405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4F6542" w:rsidRDefault="004F6542" w:rsidP="004F6542">
      <w:pPr>
        <w:spacing w:line="480" w:lineRule="auto"/>
        <w:ind w:firstLine="720"/>
        <w:jc w:val="center"/>
        <w:rPr>
          <w:rFonts w:ascii="Times New Roman" w:hAnsi="Times New Roman" w:cs="Times New Roman"/>
          <w:sz w:val="24"/>
          <w:szCs w:val="24"/>
        </w:rPr>
      </w:pPr>
    </w:p>
    <w:p w:rsidR="004F6542" w:rsidRDefault="00DA26CD" w:rsidP="004F654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Construction document</w:t>
      </w:r>
    </w:p>
    <w:p w:rsidR="00921390" w:rsidRPr="004D00DA" w:rsidRDefault="00DA26CD" w:rsidP="004F6542">
      <w:pPr>
        <w:spacing w:line="480" w:lineRule="auto"/>
        <w:ind w:firstLine="720"/>
        <w:jc w:val="center"/>
        <w:rPr>
          <w:rFonts w:ascii="Times New Roman" w:hAnsi="Times New Roman" w:cs="Times New Roman"/>
          <w:sz w:val="24"/>
          <w:szCs w:val="24"/>
        </w:rPr>
      </w:pPr>
      <w:r w:rsidRPr="004D00DA">
        <w:rPr>
          <w:rFonts w:ascii="Times New Roman" w:hAnsi="Times New Roman" w:cs="Times New Roman"/>
          <w:sz w:val="24"/>
          <w:szCs w:val="24"/>
        </w:rPr>
        <w:t>Name</w:t>
      </w:r>
    </w:p>
    <w:p w:rsidR="00921390" w:rsidRPr="004D00DA" w:rsidRDefault="00DA26CD" w:rsidP="004F6542">
      <w:pPr>
        <w:spacing w:line="480" w:lineRule="auto"/>
        <w:ind w:firstLine="720"/>
        <w:jc w:val="center"/>
        <w:rPr>
          <w:rFonts w:ascii="Times New Roman" w:hAnsi="Times New Roman" w:cs="Times New Roman"/>
          <w:sz w:val="24"/>
          <w:szCs w:val="24"/>
        </w:rPr>
      </w:pPr>
      <w:r w:rsidRPr="004D00DA">
        <w:rPr>
          <w:rFonts w:ascii="Times New Roman" w:hAnsi="Times New Roman" w:cs="Times New Roman"/>
          <w:sz w:val="24"/>
          <w:szCs w:val="24"/>
        </w:rPr>
        <w:t>Institution</w:t>
      </w:r>
    </w:p>
    <w:p w:rsidR="00921390" w:rsidRPr="004D00DA" w:rsidRDefault="00DA26CD" w:rsidP="004F6542">
      <w:pPr>
        <w:spacing w:line="480" w:lineRule="auto"/>
        <w:ind w:firstLine="720"/>
        <w:jc w:val="center"/>
        <w:rPr>
          <w:rFonts w:ascii="Times New Roman" w:hAnsi="Times New Roman" w:cs="Times New Roman"/>
          <w:sz w:val="24"/>
          <w:szCs w:val="24"/>
        </w:rPr>
      </w:pPr>
      <w:r w:rsidRPr="004D00DA">
        <w:rPr>
          <w:rFonts w:ascii="Times New Roman" w:hAnsi="Times New Roman" w:cs="Times New Roman"/>
          <w:sz w:val="24"/>
          <w:szCs w:val="24"/>
        </w:rPr>
        <w:t>Course</w:t>
      </w:r>
    </w:p>
    <w:p w:rsidR="00921390" w:rsidRPr="004D00DA" w:rsidRDefault="00DA26CD" w:rsidP="004F6542">
      <w:pPr>
        <w:spacing w:line="480" w:lineRule="auto"/>
        <w:ind w:firstLine="720"/>
        <w:jc w:val="center"/>
        <w:rPr>
          <w:rFonts w:ascii="Times New Roman" w:hAnsi="Times New Roman" w:cs="Times New Roman"/>
          <w:sz w:val="24"/>
          <w:szCs w:val="24"/>
        </w:rPr>
      </w:pPr>
      <w:r w:rsidRPr="004D00DA">
        <w:rPr>
          <w:rFonts w:ascii="Times New Roman" w:hAnsi="Times New Roman" w:cs="Times New Roman"/>
          <w:sz w:val="24"/>
          <w:szCs w:val="24"/>
        </w:rPr>
        <w:t>Date</w:t>
      </w:r>
      <w:r w:rsidR="00711D84" w:rsidRPr="004D00DA">
        <w:rPr>
          <w:rFonts w:ascii="Times New Roman" w:hAnsi="Times New Roman" w:cs="Times New Roman"/>
          <w:sz w:val="24"/>
          <w:szCs w:val="24"/>
        </w:rPr>
        <w:br w:type="page"/>
      </w:r>
    </w:p>
    <w:p w:rsidR="00D0417D" w:rsidRPr="004D00DA" w:rsidRDefault="00DA26CD" w:rsidP="004D00DA">
      <w:pPr>
        <w:spacing w:line="480" w:lineRule="auto"/>
        <w:ind w:firstLine="720"/>
        <w:rPr>
          <w:rFonts w:ascii="Times New Roman" w:hAnsi="Times New Roman" w:cs="Times New Roman"/>
          <w:sz w:val="24"/>
          <w:szCs w:val="24"/>
        </w:rPr>
      </w:pPr>
      <w:r w:rsidRPr="004D00DA">
        <w:rPr>
          <w:rFonts w:ascii="Times New Roman" w:hAnsi="Times New Roman" w:cs="Times New Roman"/>
          <w:sz w:val="24"/>
          <w:szCs w:val="24"/>
        </w:rPr>
        <w:lastRenderedPageBreak/>
        <w:t xml:space="preserve"> </w:t>
      </w:r>
      <w:r w:rsidR="00561339" w:rsidRPr="004D00DA">
        <w:rPr>
          <w:rFonts w:ascii="Times New Roman" w:hAnsi="Times New Roman" w:cs="Times New Roman"/>
          <w:sz w:val="24"/>
          <w:szCs w:val="24"/>
        </w:rPr>
        <w:t>The critical risk issues identified here are the unfair presentation of interest of the parties under the contract and the changes taking place in the construction industry that could lead to misunderstanding between the contractor and the owners.</w:t>
      </w:r>
      <w:r w:rsidR="00363B0F" w:rsidRPr="004D00DA">
        <w:rPr>
          <w:rFonts w:ascii="Times New Roman" w:hAnsi="Times New Roman" w:cs="Times New Roman"/>
          <w:sz w:val="24"/>
          <w:szCs w:val="24"/>
        </w:rPr>
        <w:t xml:space="preserve">  Both AII A-102 agreement, as well as The AIA A-201 General conditions, allocate for the above two risk issues in the following ways. Firstly, </w:t>
      </w:r>
      <w:r w:rsidR="00162E2F" w:rsidRPr="004D00DA">
        <w:rPr>
          <w:rFonts w:ascii="Times New Roman" w:hAnsi="Times New Roman" w:cs="Times New Roman"/>
          <w:sz w:val="24"/>
          <w:szCs w:val="24"/>
        </w:rPr>
        <w:t>the AII</w:t>
      </w:r>
      <w:r w:rsidR="00363B0F" w:rsidRPr="004D00DA">
        <w:rPr>
          <w:rFonts w:ascii="Times New Roman" w:hAnsi="Times New Roman" w:cs="Times New Roman"/>
          <w:sz w:val="24"/>
          <w:szCs w:val="24"/>
        </w:rPr>
        <w:t xml:space="preserve"> A-102 agreement covers large projects that guarantee the maximum price agreed by the contractor and the owner.  Therefore </w:t>
      </w:r>
      <w:r w:rsidR="00162E2F" w:rsidRPr="004D00DA">
        <w:rPr>
          <w:rFonts w:ascii="Times New Roman" w:hAnsi="Times New Roman" w:cs="Times New Roman"/>
          <w:sz w:val="24"/>
          <w:szCs w:val="24"/>
        </w:rPr>
        <w:t>it focuses</w:t>
      </w:r>
      <w:r w:rsidR="00363B0F" w:rsidRPr="004D00DA">
        <w:rPr>
          <w:rFonts w:ascii="Times New Roman" w:hAnsi="Times New Roman" w:cs="Times New Roman"/>
          <w:sz w:val="24"/>
          <w:szCs w:val="24"/>
        </w:rPr>
        <w:t xml:space="preserve"> on balancing the interest of </w:t>
      </w:r>
      <w:r w:rsidRPr="004D00DA">
        <w:rPr>
          <w:rFonts w:ascii="Times New Roman" w:hAnsi="Times New Roman" w:cs="Times New Roman"/>
          <w:sz w:val="24"/>
          <w:szCs w:val="24"/>
        </w:rPr>
        <w:t>all parties</w:t>
      </w:r>
      <w:r w:rsidR="00363B0F" w:rsidRPr="004D00DA">
        <w:rPr>
          <w:rFonts w:ascii="Times New Roman" w:hAnsi="Times New Roman" w:cs="Times New Roman"/>
          <w:sz w:val="24"/>
          <w:szCs w:val="24"/>
        </w:rPr>
        <w:t xml:space="preserve"> involved in the contract.</w:t>
      </w:r>
      <w:r w:rsidRPr="004D00DA">
        <w:rPr>
          <w:rFonts w:ascii="Times New Roman" w:hAnsi="Times New Roman" w:cs="Times New Roman"/>
          <w:sz w:val="24"/>
          <w:szCs w:val="24"/>
        </w:rPr>
        <w:t xml:space="preserve"> </w:t>
      </w:r>
      <w:r w:rsidR="00162E2F" w:rsidRPr="004D00DA">
        <w:rPr>
          <w:rFonts w:ascii="Times New Roman" w:hAnsi="Times New Roman" w:cs="Times New Roman"/>
          <w:sz w:val="24"/>
          <w:szCs w:val="24"/>
        </w:rPr>
        <w:t>Secondly, the</w:t>
      </w:r>
      <w:r w:rsidRPr="004D00DA">
        <w:rPr>
          <w:rFonts w:ascii="Times New Roman" w:hAnsi="Times New Roman" w:cs="Times New Roman"/>
          <w:sz w:val="24"/>
          <w:szCs w:val="24"/>
        </w:rPr>
        <w:t xml:space="preserve"> AIA A-201 General </w:t>
      </w:r>
      <w:r w:rsidR="00162E2F" w:rsidRPr="004D00DA">
        <w:rPr>
          <w:rFonts w:ascii="Times New Roman" w:hAnsi="Times New Roman" w:cs="Times New Roman"/>
          <w:sz w:val="24"/>
          <w:szCs w:val="24"/>
        </w:rPr>
        <w:t>conditions act</w:t>
      </w:r>
      <w:r w:rsidRPr="004D00DA">
        <w:rPr>
          <w:rFonts w:ascii="Times New Roman" w:hAnsi="Times New Roman" w:cs="Times New Roman"/>
          <w:sz w:val="24"/>
          <w:szCs w:val="24"/>
        </w:rPr>
        <w:t xml:space="preserve"> as an integral point for a construction contract that invo</w:t>
      </w:r>
      <w:r w:rsidRPr="004D00DA">
        <w:rPr>
          <w:rFonts w:ascii="Times New Roman" w:hAnsi="Times New Roman" w:cs="Times New Roman"/>
          <w:sz w:val="24"/>
          <w:szCs w:val="24"/>
        </w:rPr>
        <w:t xml:space="preserve">lves large projects. </w:t>
      </w:r>
      <w:r w:rsidR="00702A07" w:rsidRPr="004D00DA">
        <w:rPr>
          <w:rFonts w:ascii="Times New Roman" w:hAnsi="Times New Roman" w:cs="Times New Roman"/>
          <w:sz w:val="24"/>
          <w:szCs w:val="24"/>
        </w:rPr>
        <w:t xml:space="preserve"> There is a fair allocation of the above-mentioned risks </w:t>
      </w:r>
      <w:r w:rsidR="00162E2F" w:rsidRPr="004D00DA">
        <w:rPr>
          <w:rFonts w:ascii="Times New Roman" w:hAnsi="Times New Roman" w:cs="Times New Roman"/>
          <w:sz w:val="24"/>
          <w:szCs w:val="24"/>
        </w:rPr>
        <w:t>because;</w:t>
      </w:r>
      <w:r w:rsidR="00702A07" w:rsidRPr="004D00DA">
        <w:rPr>
          <w:rFonts w:ascii="Times New Roman" w:hAnsi="Times New Roman" w:cs="Times New Roman"/>
          <w:sz w:val="24"/>
          <w:szCs w:val="24"/>
        </w:rPr>
        <w:t xml:space="preserve"> they represent fairness by ensuring that the interest of </w:t>
      </w:r>
      <w:r w:rsidR="00C36FC5" w:rsidRPr="004D00DA">
        <w:rPr>
          <w:rFonts w:ascii="Times New Roman" w:hAnsi="Times New Roman" w:cs="Times New Roman"/>
          <w:sz w:val="24"/>
          <w:szCs w:val="24"/>
        </w:rPr>
        <w:t>the contractor and owner is fairly presented.</w:t>
      </w:r>
      <w:r w:rsidR="00A244AB" w:rsidRPr="004D00DA">
        <w:rPr>
          <w:rFonts w:ascii="Times New Roman" w:hAnsi="Times New Roman" w:cs="Times New Roman"/>
          <w:sz w:val="24"/>
          <w:szCs w:val="24"/>
        </w:rPr>
        <w:t xml:space="preserve"> </w:t>
      </w:r>
    </w:p>
    <w:p w:rsidR="00A244AB" w:rsidRPr="004D00DA" w:rsidRDefault="00DA26CD" w:rsidP="004D00DA">
      <w:pPr>
        <w:spacing w:line="480" w:lineRule="auto"/>
        <w:ind w:firstLine="720"/>
        <w:rPr>
          <w:rFonts w:ascii="Times New Roman" w:hAnsi="Times New Roman" w:cs="Times New Roman"/>
          <w:sz w:val="24"/>
          <w:szCs w:val="24"/>
        </w:rPr>
      </w:pPr>
      <w:r w:rsidRPr="004D00DA">
        <w:rPr>
          <w:rFonts w:ascii="Times New Roman" w:hAnsi="Times New Roman" w:cs="Times New Roman"/>
          <w:sz w:val="24"/>
          <w:szCs w:val="24"/>
        </w:rPr>
        <w:t xml:space="preserve">The two identified issues are essential to general contractors because they call for good communication among parties in the construction industry, and thus, </w:t>
      </w:r>
      <w:r w:rsidR="00874981" w:rsidRPr="004D00DA">
        <w:rPr>
          <w:rFonts w:ascii="Times New Roman" w:hAnsi="Times New Roman" w:cs="Times New Roman"/>
          <w:sz w:val="24"/>
          <w:szCs w:val="24"/>
        </w:rPr>
        <w:t>the general contractor can produce timely, economical and high</w:t>
      </w:r>
      <w:r w:rsidR="00236145" w:rsidRPr="004D00DA">
        <w:rPr>
          <w:rFonts w:ascii="Times New Roman" w:hAnsi="Times New Roman" w:cs="Times New Roman"/>
          <w:sz w:val="24"/>
          <w:szCs w:val="24"/>
        </w:rPr>
        <w:t>-quality projects (</w:t>
      </w:r>
      <w:r w:rsidR="00236145" w:rsidRPr="004D00DA">
        <w:rPr>
          <w:rFonts w:ascii="Times New Roman" w:hAnsi="Times New Roman" w:cs="Times New Roman"/>
          <w:color w:val="000000"/>
          <w:sz w:val="24"/>
          <w:szCs w:val="24"/>
          <w:shd w:val="clear" w:color="auto" w:fill="FFFFFF"/>
        </w:rPr>
        <w:t>Chow, Sarkisian, &amp; Leed</w:t>
      </w:r>
      <w:r w:rsidR="004F6542" w:rsidRPr="004D00DA">
        <w:rPr>
          <w:rFonts w:ascii="Times New Roman" w:hAnsi="Times New Roman" w:cs="Times New Roman"/>
          <w:color w:val="000000"/>
          <w:sz w:val="24"/>
          <w:szCs w:val="24"/>
          <w:shd w:val="clear" w:color="auto" w:fill="FFFFFF"/>
        </w:rPr>
        <w:t>, 2017</w:t>
      </w:r>
      <w:r w:rsidR="00236145" w:rsidRPr="004D00DA">
        <w:rPr>
          <w:rFonts w:ascii="Times New Roman" w:hAnsi="Times New Roman" w:cs="Times New Roman"/>
          <w:color w:val="000000"/>
          <w:sz w:val="24"/>
          <w:szCs w:val="24"/>
          <w:shd w:val="clear" w:color="auto" w:fill="FFFFFF"/>
        </w:rPr>
        <w:t xml:space="preserve">). </w:t>
      </w:r>
      <w:r w:rsidR="00657289" w:rsidRPr="004D00DA">
        <w:rPr>
          <w:rFonts w:ascii="Times New Roman" w:hAnsi="Times New Roman" w:cs="Times New Roman"/>
          <w:sz w:val="24"/>
          <w:szCs w:val="24"/>
        </w:rPr>
        <w:t xml:space="preserve"> The first example of an unacceptable owner change the unfair presentation of interest of the parties under the contract is the irregular revision of the AIA document. This is not accepted. Irregular review does not allow for accommodating </w:t>
      </w:r>
      <w:r w:rsidR="00711D84" w:rsidRPr="004D00DA">
        <w:rPr>
          <w:rFonts w:ascii="Times New Roman" w:hAnsi="Times New Roman" w:cs="Times New Roman"/>
          <w:sz w:val="24"/>
          <w:szCs w:val="24"/>
        </w:rPr>
        <w:t>changes that</w:t>
      </w:r>
      <w:r w:rsidR="00657289" w:rsidRPr="004D00DA">
        <w:rPr>
          <w:rFonts w:ascii="Times New Roman" w:hAnsi="Times New Roman" w:cs="Times New Roman"/>
          <w:sz w:val="24"/>
          <w:szCs w:val="24"/>
        </w:rPr>
        <w:t xml:space="preserve"> can happen in industrial practice as well as in insurance.</w:t>
      </w:r>
      <w:r w:rsidR="00DF349E" w:rsidRPr="004D00DA">
        <w:rPr>
          <w:rFonts w:ascii="Times New Roman" w:hAnsi="Times New Roman" w:cs="Times New Roman"/>
          <w:sz w:val="24"/>
          <w:szCs w:val="24"/>
        </w:rPr>
        <w:t xml:space="preserve"> The second example is the imbalance of interest of the parties involved.</w:t>
      </w:r>
      <w:r w:rsidR="00711D84" w:rsidRPr="004D00DA">
        <w:rPr>
          <w:rFonts w:ascii="Times New Roman" w:hAnsi="Times New Roman" w:cs="Times New Roman"/>
          <w:sz w:val="24"/>
          <w:szCs w:val="24"/>
        </w:rPr>
        <w:t xml:space="preserve"> The imbalanced interests of the parties involved in the construction contract are unacceptable. The provisions in the AIA-102 Agreement that</w:t>
      </w:r>
      <w:r w:rsidR="003B6063" w:rsidRPr="004D00DA">
        <w:rPr>
          <w:rFonts w:ascii="Times New Roman" w:hAnsi="Times New Roman" w:cs="Times New Roman"/>
          <w:sz w:val="24"/>
          <w:szCs w:val="24"/>
        </w:rPr>
        <w:t xml:space="preserve"> the owner is trying to change is base</w:t>
      </w:r>
      <w:r w:rsidR="000223A9" w:rsidRPr="004D00DA">
        <w:rPr>
          <w:rFonts w:ascii="Times New Roman" w:hAnsi="Times New Roman" w:cs="Times New Roman"/>
          <w:sz w:val="24"/>
          <w:szCs w:val="24"/>
        </w:rPr>
        <w:t xml:space="preserve">d on the construction </w:t>
      </w:r>
      <w:r w:rsidR="00162E2F" w:rsidRPr="004D00DA">
        <w:rPr>
          <w:rFonts w:ascii="Times New Roman" w:hAnsi="Times New Roman" w:cs="Times New Roman"/>
          <w:sz w:val="24"/>
          <w:szCs w:val="24"/>
        </w:rPr>
        <w:t>practices. The</w:t>
      </w:r>
      <w:r w:rsidR="000223A9" w:rsidRPr="004D00DA">
        <w:rPr>
          <w:rFonts w:ascii="Times New Roman" w:hAnsi="Times New Roman" w:cs="Times New Roman"/>
          <w:sz w:val="24"/>
          <w:szCs w:val="24"/>
        </w:rPr>
        <w:t xml:space="preserve"> owner is trying to change this provision by revising </w:t>
      </w:r>
      <w:r w:rsidR="00162E2F" w:rsidRPr="004D00DA">
        <w:rPr>
          <w:rFonts w:ascii="Times New Roman" w:hAnsi="Times New Roman" w:cs="Times New Roman"/>
          <w:sz w:val="24"/>
          <w:szCs w:val="24"/>
        </w:rPr>
        <w:t>the regulation in the agreement</w:t>
      </w:r>
      <w:r w:rsidR="000223A9" w:rsidRPr="004D00DA">
        <w:rPr>
          <w:rFonts w:ascii="Times New Roman" w:hAnsi="Times New Roman" w:cs="Times New Roman"/>
          <w:sz w:val="24"/>
          <w:szCs w:val="24"/>
        </w:rPr>
        <w:t xml:space="preserve"> on a regular basis to ensure that future changes are accommodated </w:t>
      </w:r>
      <w:r w:rsidR="00162E2F" w:rsidRPr="004D00DA">
        <w:rPr>
          <w:rFonts w:ascii="Times New Roman" w:hAnsi="Times New Roman" w:cs="Times New Roman"/>
          <w:sz w:val="24"/>
          <w:szCs w:val="24"/>
        </w:rPr>
        <w:t>and be reflected in the law in regard to the construction industry and practices.</w:t>
      </w:r>
    </w:p>
    <w:p w:rsidR="00236145" w:rsidRPr="004D00DA" w:rsidRDefault="00DA26CD" w:rsidP="004D00DA">
      <w:pPr>
        <w:spacing w:line="480" w:lineRule="auto"/>
        <w:jc w:val="center"/>
        <w:rPr>
          <w:rFonts w:ascii="Times New Roman" w:hAnsi="Times New Roman" w:cs="Times New Roman"/>
          <w:color w:val="000000"/>
          <w:sz w:val="24"/>
          <w:szCs w:val="24"/>
          <w:shd w:val="clear" w:color="auto" w:fill="FFFFFF"/>
        </w:rPr>
      </w:pPr>
      <w:r w:rsidRPr="004D00DA">
        <w:rPr>
          <w:rFonts w:ascii="Times New Roman" w:hAnsi="Times New Roman" w:cs="Times New Roman"/>
          <w:color w:val="000000"/>
          <w:sz w:val="24"/>
          <w:szCs w:val="24"/>
          <w:shd w:val="clear" w:color="auto" w:fill="FFFFFF"/>
        </w:rPr>
        <w:lastRenderedPageBreak/>
        <w:t>References</w:t>
      </w:r>
    </w:p>
    <w:p w:rsidR="00236145" w:rsidRPr="004D00DA" w:rsidRDefault="00DA26CD" w:rsidP="004D00DA">
      <w:pPr>
        <w:spacing w:line="480" w:lineRule="auto"/>
        <w:ind w:left="720" w:hanging="720"/>
        <w:rPr>
          <w:rFonts w:ascii="Times New Roman" w:hAnsi="Times New Roman" w:cs="Times New Roman"/>
          <w:sz w:val="24"/>
          <w:szCs w:val="24"/>
        </w:rPr>
      </w:pPr>
      <w:r w:rsidRPr="004D00DA">
        <w:rPr>
          <w:rFonts w:ascii="Times New Roman" w:hAnsi="Times New Roman" w:cs="Times New Roman"/>
          <w:color w:val="000000"/>
          <w:sz w:val="24"/>
          <w:szCs w:val="24"/>
          <w:shd w:val="clear" w:color="auto" w:fill="FFFFFF"/>
        </w:rPr>
        <w:t>Chow</w:t>
      </w:r>
      <w:r w:rsidR="00386FD6" w:rsidRPr="004D00DA">
        <w:rPr>
          <w:rFonts w:ascii="Times New Roman" w:hAnsi="Times New Roman" w:cs="Times New Roman"/>
          <w:color w:val="000000"/>
          <w:sz w:val="24"/>
          <w:szCs w:val="24"/>
          <w:shd w:val="clear" w:color="auto" w:fill="FFFFFF"/>
        </w:rPr>
        <w:t>, L., AIA, A., Sarkisian, M. &amp;</w:t>
      </w:r>
      <w:r w:rsidRPr="004D00DA">
        <w:rPr>
          <w:rFonts w:ascii="Times New Roman" w:hAnsi="Times New Roman" w:cs="Times New Roman"/>
          <w:color w:val="000000"/>
          <w:sz w:val="24"/>
          <w:szCs w:val="24"/>
          <w:shd w:val="clear" w:color="auto" w:fill="FFFFFF"/>
        </w:rPr>
        <w:t xml:space="preserve"> LEED, P. (2017). Site | Structure | Architecture - Projects that Create Change. </w:t>
      </w:r>
      <w:r w:rsidRPr="004D00DA">
        <w:rPr>
          <w:rFonts w:ascii="Times New Roman" w:hAnsi="Times New Roman" w:cs="Times New Roman"/>
          <w:i/>
          <w:iCs/>
          <w:color w:val="000000"/>
          <w:sz w:val="24"/>
          <w:szCs w:val="24"/>
          <w:shd w:val="clear" w:color="auto" w:fill="FFFFFF"/>
        </w:rPr>
        <w:t>International Journal of High-Rise Buildings</w:t>
      </w:r>
      <w:r w:rsidRPr="004D00DA">
        <w:rPr>
          <w:rFonts w:ascii="Times New Roman" w:hAnsi="Times New Roman" w:cs="Times New Roman"/>
          <w:color w:val="000000"/>
          <w:sz w:val="24"/>
          <w:szCs w:val="24"/>
          <w:shd w:val="clear" w:color="auto" w:fill="FFFFFF"/>
        </w:rPr>
        <w:t>, 6(</w:t>
      </w:r>
      <w:r w:rsidRPr="004D00DA">
        <w:rPr>
          <w:rFonts w:ascii="Times New Roman" w:hAnsi="Times New Roman" w:cs="Times New Roman"/>
          <w:color w:val="000000"/>
          <w:sz w:val="24"/>
          <w:szCs w:val="24"/>
          <w:shd w:val="clear" w:color="auto" w:fill="FFFFFF"/>
        </w:rPr>
        <w:t>3), pp.237-248.</w:t>
      </w:r>
    </w:p>
    <w:sectPr w:rsidR="00236145" w:rsidRPr="004D00DA" w:rsidSect="004F65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6CD" w:rsidRDefault="00DA26CD">
      <w:pPr>
        <w:spacing w:after="0" w:line="240" w:lineRule="auto"/>
      </w:pPr>
      <w:r>
        <w:separator/>
      </w:r>
    </w:p>
  </w:endnote>
  <w:endnote w:type="continuationSeparator" w:id="0">
    <w:p w:rsidR="00DA26CD" w:rsidRDefault="00DA2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6CD" w:rsidRDefault="00DA26CD">
      <w:pPr>
        <w:spacing w:after="0" w:line="240" w:lineRule="auto"/>
      </w:pPr>
      <w:r>
        <w:separator/>
      </w:r>
    </w:p>
  </w:footnote>
  <w:footnote w:type="continuationSeparator" w:id="0">
    <w:p w:rsidR="00DA26CD" w:rsidRDefault="00DA2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0680139"/>
      <w:docPartObj>
        <w:docPartGallery w:val="Page Numbers (Top of Page)"/>
        <w:docPartUnique/>
      </w:docPartObj>
    </w:sdtPr>
    <w:sdtEndPr>
      <w:rPr>
        <w:noProof/>
      </w:rPr>
    </w:sdtEndPr>
    <w:sdtContent>
      <w:p w:rsidR="004F6542" w:rsidRPr="004F6542" w:rsidRDefault="00DA26CD" w:rsidP="004F6542">
        <w:pPr>
          <w:spacing w:line="480" w:lineRule="auto"/>
          <w:rPr>
            <w:rFonts w:ascii="Times New Roman" w:hAnsi="Times New Roman" w:cs="Times New Roman"/>
            <w:sz w:val="24"/>
            <w:szCs w:val="24"/>
          </w:rPr>
        </w:pPr>
        <w:r>
          <w:rPr>
            <w:rFonts w:ascii="Times New Roman" w:hAnsi="Times New Roman" w:cs="Times New Roman"/>
            <w:sz w:val="24"/>
            <w:szCs w:val="24"/>
          </w:rPr>
          <w:t xml:space="preserve">CONSTRUCTION DOCUMENT                                                                                                   </w:t>
        </w:r>
        <w:r>
          <w:fldChar w:fldCharType="begin"/>
        </w:r>
        <w:r>
          <w:instrText xml:space="preserve"> PAGE   \* MERGEFORMAT </w:instrText>
        </w:r>
        <w:r>
          <w:fldChar w:fldCharType="separate"/>
        </w:r>
        <w:r w:rsidR="009F00E1">
          <w:rPr>
            <w:noProof/>
          </w:rPr>
          <w:t>3</w:t>
        </w:r>
        <w:r>
          <w:rPr>
            <w:noProof/>
          </w:rPr>
          <w:fldChar w:fldCharType="end"/>
        </w:r>
      </w:p>
    </w:sdtContent>
  </w:sdt>
  <w:p w:rsidR="004F6542" w:rsidRDefault="004F65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542" w:rsidRPr="004F6542" w:rsidRDefault="00DA26CD" w:rsidP="004F6542">
    <w:pPr>
      <w:tabs>
        <w:tab w:val="left" w:pos="3150"/>
        <w:tab w:val="center" w:pos="504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CONSTRUCTION DOCUMENT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339"/>
    <w:rsid w:val="000223A9"/>
    <w:rsid w:val="000E41BA"/>
    <w:rsid w:val="00162E2F"/>
    <w:rsid w:val="00236145"/>
    <w:rsid w:val="00363B0F"/>
    <w:rsid w:val="00386FD6"/>
    <w:rsid w:val="003B6063"/>
    <w:rsid w:val="004D00DA"/>
    <w:rsid w:val="004F6542"/>
    <w:rsid w:val="00561339"/>
    <w:rsid w:val="00657289"/>
    <w:rsid w:val="00702A07"/>
    <w:rsid w:val="00711D84"/>
    <w:rsid w:val="00777F71"/>
    <w:rsid w:val="00874981"/>
    <w:rsid w:val="00882385"/>
    <w:rsid w:val="00921390"/>
    <w:rsid w:val="009F00E1"/>
    <w:rsid w:val="00A244AB"/>
    <w:rsid w:val="00C36FC5"/>
    <w:rsid w:val="00D0417D"/>
    <w:rsid w:val="00DA26CD"/>
    <w:rsid w:val="00DF349E"/>
    <w:rsid w:val="00F96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542"/>
  </w:style>
  <w:style w:type="paragraph" w:styleId="Footer">
    <w:name w:val="footer"/>
    <w:basedOn w:val="Normal"/>
    <w:link w:val="FooterChar"/>
    <w:uiPriority w:val="99"/>
    <w:unhideWhenUsed/>
    <w:rsid w:val="004F6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5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542"/>
  </w:style>
  <w:style w:type="paragraph" w:styleId="Footer">
    <w:name w:val="footer"/>
    <w:basedOn w:val="Normal"/>
    <w:link w:val="FooterChar"/>
    <w:uiPriority w:val="99"/>
    <w:unhideWhenUsed/>
    <w:rsid w:val="004F6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3</cp:revision>
  <dcterms:created xsi:type="dcterms:W3CDTF">2019-10-17T12:50:00Z</dcterms:created>
  <dcterms:modified xsi:type="dcterms:W3CDTF">2019-10-17T12:54:00Z</dcterms:modified>
</cp:coreProperties>
</file>